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89" w:rsidRPr="00C1238B" w:rsidRDefault="00595828" w:rsidP="00C12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8B">
        <w:rPr>
          <w:rFonts w:ascii="Times New Roman" w:hAnsi="Times New Roman" w:cs="Times New Roman"/>
          <w:b/>
          <w:sz w:val="28"/>
          <w:szCs w:val="28"/>
        </w:rPr>
        <w:t>Концептуальная записка по подготовке к проведению очередной региональной Конференции водохозяйственных и ирригационных организаций ВЕКЦА</w:t>
      </w:r>
    </w:p>
    <w:p w:rsidR="00934643" w:rsidRDefault="00934643" w:rsidP="00C12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828" w:rsidRPr="00C1238B" w:rsidRDefault="00595828" w:rsidP="00C12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8B">
        <w:rPr>
          <w:rFonts w:ascii="Times New Roman" w:hAnsi="Times New Roman" w:cs="Times New Roman"/>
          <w:b/>
          <w:sz w:val="28"/>
          <w:szCs w:val="28"/>
        </w:rPr>
        <w:t>5-8 ноября 2018 г.</w:t>
      </w:r>
    </w:p>
    <w:p w:rsidR="00C1238B" w:rsidRDefault="00C1238B">
      <w:pPr>
        <w:rPr>
          <w:rFonts w:ascii="Times New Roman" w:hAnsi="Times New Roman" w:cs="Times New Roman"/>
          <w:sz w:val="24"/>
          <w:szCs w:val="24"/>
        </w:rPr>
      </w:pPr>
    </w:p>
    <w:p w:rsidR="00B13E47" w:rsidRDefault="00B13E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238B" w:rsidRDefault="00B40D9F" w:rsidP="006F2A0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Регион Восточной Европы, Кавказа и Центральной Азии, несмотря на разделение природно-экономических и водохозяйственных условий </w:t>
      </w:r>
      <w:r w:rsidR="00413153">
        <w:rPr>
          <w:rFonts w:ascii="Times New Roman" w:hAnsi="Times New Roman" w:cs="Times New Roman"/>
          <w:sz w:val="24"/>
          <w:szCs w:val="24"/>
        </w:rPr>
        <w:t>в принципе переживает идентичный набор вызовов и возможных решений, поэтому предлагается построить обсуждение насущных проблем региона по единому шаблону, который НИЦ МКВК представляет на основе своих исследований и предложени</w:t>
      </w:r>
      <w:r w:rsidR="00956F1A">
        <w:rPr>
          <w:rFonts w:ascii="Times New Roman" w:hAnsi="Times New Roman" w:cs="Times New Roman"/>
          <w:sz w:val="24"/>
          <w:szCs w:val="24"/>
        </w:rPr>
        <w:t>й</w:t>
      </w:r>
      <w:r w:rsidR="00413153">
        <w:rPr>
          <w:rFonts w:ascii="Times New Roman" w:hAnsi="Times New Roman" w:cs="Times New Roman"/>
          <w:sz w:val="24"/>
          <w:szCs w:val="24"/>
        </w:rPr>
        <w:t xml:space="preserve">, касающихся перспективы бассейна Аральского моря, а партнеры </w:t>
      </w:r>
      <w:r w:rsidR="00C015D4">
        <w:rPr>
          <w:rFonts w:ascii="Times New Roman" w:hAnsi="Times New Roman" w:cs="Times New Roman"/>
          <w:sz w:val="24"/>
          <w:szCs w:val="24"/>
        </w:rPr>
        <w:t>разовьют в своих представлениях соответственно для Кавказа и Восточной Европы.</w:t>
      </w:r>
      <w:proofErr w:type="gramEnd"/>
    </w:p>
    <w:p w:rsidR="00C015D4" w:rsidRDefault="00C015D4" w:rsidP="006F2A0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Предполагается, что генеральный доклад, касающийся в основном проблем БАМа, будет сделан с </w:t>
      </w:r>
      <w:r w:rsidR="0078529A">
        <w:rPr>
          <w:rFonts w:ascii="Times New Roman" w:hAnsi="Times New Roman" w:cs="Times New Roman"/>
          <w:sz w:val="24"/>
          <w:szCs w:val="24"/>
        </w:rPr>
        <w:t>постоянным</w:t>
      </w:r>
      <w:r>
        <w:rPr>
          <w:rFonts w:ascii="Times New Roman" w:hAnsi="Times New Roman" w:cs="Times New Roman"/>
          <w:sz w:val="24"/>
          <w:szCs w:val="24"/>
        </w:rPr>
        <w:t xml:space="preserve"> показом </w:t>
      </w:r>
      <w:r w:rsidR="0078529A">
        <w:rPr>
          <w:rFonts w:ascii="Times New Roman" w:hAnsi="Times New Roman" w:cs="Times New Roman"/>
          <w:sz w:val="24"/>
          <w:szCs w:val="24"/>
        </w:rPr>
        <w:t xml:space="preserve">особенностей Кавказа и Восточной Европы, которые в последующем будут раскрыты представителем этих </w:t>
      </w:r>
      <w:proofErr w:type="spellStart"/>
      <w:r w:rsidR="0078529A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="0078529A">
        <w:rPr>
          <w:rFonts w:ascii="Times New Roman" w:hAnsi="Times New Roman" w:cs="Times New Roman"/>
          <w:sz w:val="24"/>
          <w:szCs w:val="24"/>
        </w:rPr>
        <w:t xml:space="preserve">. </w:t>
      </w:r>
      <w:r w:rsidR="00523320">
        <w:rPr>
          <w:rFonts w:ascii="Times New Roman" w:hAnsi="Times New Roman" w:cs="Times New Roman"/>
          <w:sz w:val="24"/>
          <w:szCs w:val="24"/>
        </w:rPr>
        <w:t xml:space="preserve">Набор решений для каждого </w:t>
      </w:r>
      <w:proofErr w:type="spellStart"/>
      <w:r w:rsidR="00523320">
        <w:rPr>
          <w:rFonts w:ascii="Times New Roman" w:hAnsi="Times New Roman" w:cs="Times New Roman"/>
          <w:sz w:val="24"/>
          <w:szCs w:val="24"/>
        </w:rPr>
        <w:t>субрегиона</w:t>
      </w:r>
      <w:proofErr w:type="spellEnd"/>
      <w:r w:rsidR="00523320">
        <w:rPr>
          <w:rFonts w:ascii="Times New Roman" w:hAnsi="Times New Roman" w:cs="Times New Roman"/>
          <w:sz w:val="24"/>
          <w:szCs w:val="24"/>
        </w:rPr>
        <w:t xml:space="preserve"> будет построен по единому демонстрационному шаблону</w:t>
      </w:r>
      <w:r w:rsidR="00CD622A">
        <w:rPr>
          <w:rFonts w:ascii="Times New Roman" w:hAnsi="Times New Roman" w:cs="Times New Roman"/>
          <w:sz w:val="24"/>
          <w:szCs w:val="24"/>
        </w:rPr>
        <w:t>: общее видение проблем и решений; стратегия выживания; сотрудничество; как основы скоординированного набора решений</w:t>
      </w:r>
      <w:r w:rsidR="00893E5C">
        <w:rPr>
          <w:rFonts w:ascii="Times New Roman" w:hAnsi="Times New Roman" w:cs="Times New Roman"/>
          <w:sz w:val="24"/>
          <w:szCs w:val="24"/>
        </w:rPr>
        <w:t xml:space="preserve"> государственной и межсекторной увязки; водосбережение как основной механизм выживания; максимальное использование дренажных и сбросных вод для решения экологических проблем и осуществления экономических системных услуг; повышение потенциала водохозяйственных и ирригационных организаций вовлечением информационного, образовательного и инновационного потенциала, а также новых решений типа дистанционных измерений, моделирования и т.д.</w:t>
      </w:r>
    </w:p>
    <w:p w:rsidR="00C45508" w:rsidRDefault="00C45508" w:rsidP="006F2A0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Ключевой доклад с </w:t>
      </w:r>
      <w:r w:rsidR="00956F1A">
        <w:rPr>
          <w:rFonts w:ascii="Times New Roman" w:hAnsi="Times New Roman" w:cs="Times New Roman"/>
          <w:sz w:val="24"/>
          <w:szCs w:val="24"/>
        </w:rPr>
        <w:t>демонстрацией</w:t>
      </w:r>
      <w:r>
        <w:rPr>
          <w:rFonts w:ascii="Times New Roman" w:hAnsi="Times New Roman" w:cs="Times New Roman"/>
          <w:sz w:val="24"/>
          <w:szCs w:val="24"/>
        </w:rPr>
        <w:t xml:space="preserve"> перспективы Центрально-Азиатского региона исходит из ограниченности водных ресурсов Центральной Азии, которая связана с ее сложной ландшафтной конфигурацией, где горные массивы как кладовые воды, </w:t>
      </w:r>
      <w:r w:rsidR="00956F1A">
        <w:rPr>
          <w:rFonts w:ascii="Times New Roman" w:hAnsi="Times New Roman" w:cs="Times New Roman"/>
          <w:sz w:val="24"/>
          <w:szCs w:val="24"/>
        </w:rPr>
        <w:t>неизмеримые по площади</w:t>
      </w:r>
      <w:r>
        <w:rPr>
          <w:rFonts w:ascii="Times New Roman" w:hAnsi="Times New Roman" w:cs="Times New Roman"/>
          <w:sz w:val="24"/>
          <w:szCs w:val="24"/>
        </w:rPr>
        <w:t xml:space="preserve"> меньше огромных пространств </w:t>
      </w:r>
      <w:r w:rsidR="00F46424">
        <w:rPr>
          <w:rFonts w:ascii="Times New Roman" w:hAnsi="Times New Roman" w:cs="Times New Roman"/>
          <w:sz w:val="24"/>
          <w:szCs w:val="24"/>
        </w:rPr>
        <w:t xml:space="preserve">водопользования и рассеивания водных ресурсов в интересах человека и его продуктивной деятельности и </w:t>
      </w:r>
      <w:r w:rsidR="00956F1A">
        <w:rPr>
          <w:rFonts w:ascii="Times New Roman" w:hAnsi="Times New Roman" w:cs="Times New Roman"/>
          <w:sz w:val="24"/>
          <w:szCs w:val="24"/>
        </w:rPr>
        <w:t>находящихся</w:t>
      </w:r>
      <w:r w:rsidR="00F46424">
        <w:rPr>
          <w:rFonts w:ascii="Times New Roman" w:hAnsi="Times New Roman" w:cs="Times New Roman"/>
          <w:sz w:val="24"/>
          <w:szCs w:val="24"/>
        </w:rPr>
        <w:t xml:space="preserve"> под постоянным прессингом растущего водопотребления, также как и изменени</w:t>
      </w:r>
      <w:r w:rsidR="00956F1A">
        <w:rPr>
          <w:rFonts w:ascii="Times New Roman" w:hAnsi="Times New Roman" w:cs="Times New Roman"/>
          <w:sz w:val="24"/>
          <w:szCs w:val="24"/>
        </w:rPr>
        <w:t>я</w:t>
      </w:r>
      <w:r w:rsidR="00F46424">
        <w:rPr>
          <w:rFonts w:ascii="Times New Roman" w:hAnsi="Times New Roman" w:cs="Times New Roman"/>
          <w:sz w:val="24"/>
          <w:szCs w:val="24"/>
        </w:rPr>
        <w:t xml:space="preserve"> климата.</w:t>
      </w:r>
      <w:proofErr w:type="gramEnd"/>
      <w:r w:rsidR="00F46424">
        <w:rPr>
          <w:rFonts w:ascii="Times New Roman" w:hAnsi="Times New Roman" w:cs="Times New Roman"/>
          <w:sz w:val="24"/>
          <w:szCs w:val="24"/>
        </w:rPr>
        <w:t xml:space="preserve"> </w:t>
      </w:r>
      <w:r w:rsidR="002170F7">
        <w:rPr>
          <w:rFonts w:ascii="Times New Roman" w:hAnsi="Times New Roman" w:cs="Times New Roman"/>
          <w:sz w:val="24"/>
          <w:szCs w:val="24"/>
        </w:rPr>
        <w:t xml:space="preserve">Для региона характерно присутствие «задержанного во времени» </w:t>
      </w:r>
      <w:r w:rsidR="00CF3613">
        <w:rPr>
          <w:rFonts w:ascii="Times New Roman" w:hAnsi="Times New Roman" w:cs="Times New Roman"/>
          <w:sz w:val="24"/>
          <w:szCs w:val="24"/>
        </w:rPr>
        <w:t xml:space="preserve">ущемленного потребления воды Афганистана, Ирана, Синьцзяна и других территорий. </w:t>
      </w:r>
      <w:r w:rsidR="002170F7">
        <w:rPr>
          <w:rFonts w:ascii="Times New Roman" w:hAnsi="Times New Roman" w:cs="Times New Roman"/>
          <w:sz w:val="24"/>
          <w:szCs w:val="24"/>
        </w:rPr>
        <w:t xml:space="preserve">С другой стороны наличие крупных горных систем, также как и </w:t>
      </w:r>
      <w:r w:rsidR="00956F1A">
        <w:rPr>
          <w:rFonts w:ascii="Times New Roman" w:hAnsi="Times New Roman" w:cs="Times New Roman"/>
          <w:sz w:val="24"/>
          <w:szCs w:val="24"/>
        </w:rPr>
        <w:t>на Кавказе</w:t>
      </w:r>
      <w:r w:rsidR="002170F7">
        <w:rPr>
          <w:rFonts w:ascii="Times New Roman" w:hAnsi="Times New Roman" w:cs="Times New Roman"/>
          <w:sz w:val="24"/>
          <w:szCs w:val="24"/>
        </w:rPr>
        <w:t xml:space="preserve"> определяет достаточно разностороннюю перспективу таяния ледников и их влияние на водность и режим стоков </w:t>
      </w:r>
      <w:r w:rsidR="00956F1A">
        <w:rPr>
          <w:rFonts w:ascii="Times New Roman" w:hAnsi="Times New Roman" w:cs="Times New Roman"/>
          <w:sz w:val="24"/>
          <w:szCs w:val="24"/>
        </w:rPr>
        <w:t>стекающих рек</w:t>
      </w:r>
      <w:r w:rsidR="0021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170F7">
        <w:rPr>
          <w:rFonts w:ascii="Times New Roman" w:hAnsi="Times New Roman" w:cs="Times New Roman"/>
          <w:sz w:val="24"/>
          <w:szCs w:val="24"/>
        </w:rPr>
        <w:t>рек</w:t>
      </w:r>
      <w:proofErr w:type="spellEnd"/>
      <w:proofErr w:type="gramEnd"/>
      <w:r w:rsidR="002170F7">
        <w:rPr>
          <w:rFonts w:ascii="Times New Roman" w:hAnsi="Times New Roman" w:cs="Times New Roman"/>
          <w:sz w:val="24"/>
          <w:szCs w:val="24"/>
        </w:rPr>
        <w:t>.</w:t>
      </w:r>
      <w:r w:rsidR="00CF36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3613">
        <w:rPr>
          <w:rFonts w:ascii="Times New Roman" w:hAnsi="Times New Roman" w:cs="Times New Roman"/>
          <w:sz w:val="24"/>
          <w:szCs w:val="24"/>
        </w:rPr>
        <w:t>В результате оценка возможности удовлетворения водных ресурсов региона БАМ при</w:t>
      </w:r>
      <w:r w:rsidR="00956F1A">
        <w:rPr>
          <w:rFonts w:ascii="Times New Roman" w:hAnsi="Times New Roman" w:cs="Times New Roman"/>
          <w:sz w:val="24"/>
          <w:szCs w:val="24"/>
        </w:rPr>
        <w:t>в</w:t>
      </w:r>
      <w:r w:rsidR="00CF3613">
        <w:rPr>
          <w:rFonts w:ascii="Times New Roman" w:hAnsi="Times New Roman" w:cs="Times New Roman"/>
          <w:sz w:val="24"/>
          <w:szCs w:val="24"/>
        </w:rPr>
        <w:t>одит к дефициту всех источников воды порядка в среднем 4-7 км</w:t>
      </w:r>
      <w:r w:rsidR="00CF36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F3613">
        <w:rPr>
          <w:rFonts w:ascii="Times New Roman" w:hAnsi="Times New Roman" w:cs="Times New Roman"/>
          <w:sz w:val="24"/>
          <w:szCs w:val="24"/>
        </w:rPr>
        <w:t xml:space="preserve"> воды по бассейну Амударьи, 0 – 2 км</w:t>
      </w:r>
      <w:r w:rsidR="00CF36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F3613">
        <w:rPr>
          <w:rFonts w:ascii="Times New Roman" w:hAnsi="Times New Roman" w:cs="Times New Roman"/>
          <w:sz w:val="24"/>
          <w:szCs w:val="24"/>
        </w:rPr>
        <w:t xml:space="preserve"> по бассейну Сырдарьи для среднемноголетнего ряда лет, но возрастает до соответственно </w:t>
      </w:r>
      <w:r w:rsidR="00FF0679">
        <w:rPr>
          <w:rFonts w:ascii="Times New Roman" w:hAnsi="Times New Roman" w:cs="Times New Roman"/>
          <w:sz w:val="24"/>
          <w:szCs w:val="24"/>
        </w:rPr>
        <w:t>15 и 5 км</w:t>
      </w:r>
      <w:r w:rsidR="00FF06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F0679">
        <w:rPr>
          <w:rFonts w:ascii="Times New Roman" w:hAnsi="Times New Roman" w:cs="Times New Roman"/>
          <w:sz w:val="24"/>
          <w:szCs w:val="24"/>
        </w:rPr>
        <w:t xml:space="preserve"> кубокилометров в год, в маловодные годы аналогично 2008 г., которые должны быть покрыты соответствующими </w:t>
      </w:r>
      <w:r w:rsidR="00956F1A">
        <w:rPr>
          <w:rFonts w:ascii="Times New Roman" w:hAnsi="Times New Roman" w:cs="Times New Roman"/>
          <w:sz w:val="24"/>
          <w:szCs w:val="24"/>
        </w:rPr>
        <w:t>резервами</w:t>
      </w:r>
      <w:r w:rsidR="00FF0679">
        <w:rPr>
          <w:rFonts w:ascii="Times New Roman" w:hAnsi="Times New Roman" w:cs="Times New Roman"/>
          <w:sz w:val="24"/>
          <w:szCs w:val="24"/>
        </w:rPr>
        <w:t xml:space="preserve"> и воды и</w:t>
      </w:r>
      <w:proofErr w:type="gramEnd"/>
      <w:r w:rsidR="00FF0679">
        <w:rPr>
          <w:rFonts w:ascii="Times New Roman" w:hAnsi="Times New Roman" w:cs="Times New Roman"/>
          <w:sz w:val="24"/>
          <w:szCs w:val="24"/>
        </w:rPr>
        <w:t xml:space="preserve"> водопользования.</w:t>
      </w:r>
    </w:p>
    <w:p w:rsidR="00FF0679" w:rsidRDefault="00FF0679" w:rsidP="00FF06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Бесспорно, такая острота ситуации отсутствует в целом по </w:t>
      </w:r>
      <w:r w:rsidR="00D36E45">
        <w:rPr>
          <w:rFonts w:ascii="Times New Roman" w:hAnsi="Times New Roman" w:cs="Times New Roman"/>
          <w:sz w:val="24"/>
          <w:szCs w:val="24"/>
        </w:rPr>
        <w:t xml:space="preserve">региону Кавказа, где соотношение площади горных «источников воды» и их рассеивания намного меньше, а стало </w:t>
      </w:r>
      <w:proofErr w:type="spellStart"/>
      <w:r w:rsidR="00D36E45">
        <w:rPr>
          <w:rFonts w:ascii="Times New Roman" w:hAnsi="Times New Roman" w:cs="Times New Roman"/>
          <w:sz w:val="24"/>
          <w:szCs w:val="24"/>
        </w:rPr>
        <w:t>быь</w:t>
      </w:r>
      <w:proofErr w:type="spellEnd"/>
      <w:r w:rsidR="00D36E45">
        <w:rPr>
          <w:rFonts w:ascii="Times New Roman" w:hAnsi="Times New Roman" w:cs="Times New Roman"/>
          <w:sz w:val="24"/>
          <w:szCs w:val="24"/>
        </w:rPr>
        <w:t xml:space="preserve"> и менее критично с позиции удовлетворения водопотребления за исключением отдельных зон и массивов, ограничиваясь бассейном озера Севан и т.д. Для Восточной Европы с ее избытком водных ресурсов в целом, периодическим проявлением крупных паводков и наводнений на территории Сибири, Алтая, Дальнего </w:t>
      </w:r>
      <w:proofErr w:type="gramStart"/>
      <w:r w:rsidR="00D36E45">
        <w:rPr>
          <w:rFonts w:ascii="Times New Roman" w:hAnsi="Times New Roman" w:cs="Times New Roman"/>
          <w:sz w:val="24"/>
          <w:szCs w:val="24"/>
        </w:rPr>
        <w:t>Востока</w:t>
      </w:r>
      <w:proofErr w:type="gramEnd"/>
      <w:r w:rsidR="00D36E45">
        <w:rPr>
          <w:rFonts w:ascii="Times New Roman" w:hAnsi="Times New Roman" w:cs="Times New Roman"/>
          <w:sz w:val="24"/>
          <w:szCs w:val="24"/>
        </w:rPr>
        <w:t xml:space="preserve"> тем не менее характерен дефицит воды с позиции качественных источников и возможного нарушения баланса отдельных территорий (например, бассейна озера Байкал, бассейнов Кубани и Северного Кавказа, а также Калмыкии и ирригационного </w:t>
      </w:r>
      <w:r w:rsidR="00D36E45">
        <w:rPr>
          <w:rFonts w:ascii="Times New Roman" w:hAnsi="Times New Roman" w:cs="Times New Roman"/>
          <w:sz w:val="24"/>
          <w:szCs w:val="24"/>
        </w:rPr>
        <w:lastRenderedPageBreak/>
        <w:t>бассейна Днепра, Дона, теперь еще отягощенных проблемой дефицита воды в Крыму). Тем не менее, в целом Россия, Украина, Белоруссия и даже Молдавия отличаются положительным балансом воды над требованиями и ныне и, в основном, на перспективу.</w:t>
      </w:r>
    </w:p>
    <w:p w:rsidR="00C41A77" w:rsidRDefault="00C41A77" w:rsidP="00FF067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Оценивая положение с обеспеченностью водой в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субрегионе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необходимо учесть, что в отличие от Центральной Азии и Кавказ</w:t>
      </w:r>
      <w:r w:rsidR="00956F1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где требования на воду связаны, в основном, с требованиями ирригации, в Восточной Европе </w:t>
      </w:r>
      <w:r w:rsidR="00956F1A">
        <w:rPr>
          <w:rFonts w:ascii="Times New Roman" w:hAnsi="Times New Roman" w:cs="Times New Roman"/>
          <w:sz w:val="24"/>
          <w:szCs w:val="24"/>
        </w:rPr>
        <w:t xml:space="preserve">имеют </w:t>
      </w:r>
      <w:r>
        <w:rPr>
          <w:rFonts w:ascii="Times New Roman" w:hAnsi="Times New Roman" w:cs="Times New Roman"/>
          <w:sz w:val="24"/>
          <w:szCs w:val="24"/>
        </w:rPr>
        <w:t>место несколько ограниченные потребности для этой цели в связи с тем, что потенциал орошаемых земель используется в России меньше, чем на одну треть (4,5 млн. га используется 1,43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а в Украине – меньше, чем наполовину (2,2 млн. га используется 0,7 млн. га). </w:t>
      </w:r>
      <w:r w:rsidR="00DA72A7">
        <w:rPr>
          <w:rFonts w:ascii="Times New Roman" w:hAnsi="Times New Roman" w:cs="Times New Roman"/>
          <w:sz w:val="24"/>
          <w:szCs w:val="24"/>
        </w:rPr>
        <w:t>Но,</w:t>
      </w:r>
      <w:r>
        <w:rPr>
          <w:rFonts w:ascii="Times New Roman" w:hAnsi="Times New Roman" w:cs="Times New Roman"/>
          <w:sz w:val="24"/>
          <w:szCs w:val="24"/>
        </w:rPr>
        <w:t xml:space="preserve"> кроме того, главное использование в виде судоходства, регулирования стока, производства гидроэлектроэнергии </w:t>
      </w:r>
      <w:r w:rsidR="00DA72A7">
        <w:rPr>
          <w:rFonts w:ascii="Times New Roman" w:hAnsi="Times New Roman" w:cs="Times New Roman"/>
          <w:sz w:val="24"/>
          <w:szCs w:val="24"/>
        </w:rPr>
        <w:t>удовлетворяется достаточно продуктивно, судя по докладам Министерства природных ресурсов</w:t>
      </w:r>
      <w:r w:rsidR="00956F1A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DA72A7">
        <w:rPr>
          <w:rFonts w:ascii="Times New Roman" w:hAnsi="Times New Roman" w:cs="Times New Roman"/>
          <w:sz w:val="24"/>
          <w:szCs w:val="24"/>
        </w:rPr>
        <w:t>, хотя и требует постоянного увеличения затрат на подде</w:t>
      </w:r>
      <w:r w:rsidR="00956F1A">
        <w:rPr>
          <w:rFonts w:ascii="Times New Roman" w:hAnsi="Times New Roman" w:cs="Times New Roman"/>
          <w:sz w:val="24"/>
          <w:szCs w:val="24"/>
        </w:rPr>
        <w:t>ржание необходимых параметров про</w:t>
      </w:r>
      <w:r w:rsidR="00DA72A7">
        <w:rPr>
          <w:rFonts w:ascii="Times New Roman" w:hAnsi="Times New Roman" w:cs="Times New Roman"/>
          <w:sz w:val="24"/>
          <w:szCs w:val="24"/>
        </w:rPr>
        <w:t xml:space="preserve">хождения судов. </w:t>
      </w:r>
      <w:proofErr w:type="gramStart"/>
      <w:r w:rsidR="00DA72A7">
        <w:rPr>
          <w:rFonts w:ascii="Times New Roman" w:hAnsi="Times New Roman" w:cs="Times New Roman"/>
          <w:sz w:val="24"/>
          <w:szCs w:val="24"/>
        </w:rPr>
        <w:t xml:space="preserve">Подверженность вод России изменению климата с позиции возможного уменьшения водных ресурсов достаточно спорна и более того – по всей вероятности предполагаемое увеличение стока сибирских рек в сторону Арктического океана может принести в определенной степени отрицательный эффект на возможность освоения нефтяных полей Сибири в силу повышения их </w:t>
      </w:r>
      <w:proofErr w:type="spellStart"/>
      <w:r w:rsidR="00DA72A7">
        <w:rPr>
          <w:rFonts w:ascii="Times New Roman" w:hAnsi="Times New Roman" w:cs="Times New Roman"/>
          <w:sz w:val="24"/>
          <w:szCs w:val="24"/>
        </w:rPr>
        <w:t>обводненности</w:t>
      </w:r>
      <w:proofErr w:type="spellEnd"/>
      <w:r w:rsidR="00DA72A7">
        <w:rPr>
          <w:rFonts w:ascii="Times New Roman" w:hAnsi="Times New Roman" w:cs="Times New Roman"/>
          <w:sz w:val="24"/>
          <w:szCs w:val="24"/>
        </w:rPr>
        <w:t xml:space="preserve"> и создания помех добычи нефти и газа.</w:t>
      </w:r>
      <w:proofErr w:type="gramEnd"/>
    </w:p>
    <w:p w:rsidR="00DA72A7" w:rsidRPr="00FF0679" w:rsidRDefault="00DA72A7" w:rsidP="00FF067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Следует отметить, что избыток водных ресурсов по отдельным водным источникам России создает нацеленность на их использовании в качестве источника </w:t>
      </w:r>
      <w:r w:rsidR="00956F1A">
        <w:rPr>
          <w:rFonts w:ascii="Times New Roman" w:hAnsi="Times New Roman" w:cs="Times New Roman"/>
          <w:sz w:val="24"/>
          <w:szCs w:val="24"/>
        </w:rPr>
        <w:t>покрыт</w:t>
      </w:r>
      <w:r>
        <w:rPr>
          <w:rFonts w:ascii="Times New Roman" w:hAnsi="Times New Roman" w:cs="Times New Roman"/>
          <w:sz w:val="24"/>
          <w:szCs w:val="24"/>
        </w:rPr>
        <w:t xml:space="preserve"> водного дефицита для некоторых зон России, Казахстана, а также улучшения состояния водных объектов самой России (избыток воды в Иртыше и предполагаемая переброска части ее стока в </w:t>
      </w:r>
      <w:r w:rsidR="00956F1A">
        <w:rPr>
          <w:rFonts w:ascii="Times New Roman" w:hAnsi="Times New Roman" w:cs="Times New Roman"/>
          <w:sz w:val="24"/>
          <w:szCs w:val="24"/>
        </w:rPr>
        <w:t>бассейне Туры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6F1A">
        <w:rPr>
          <w:rFonts w:ascii="Times New Roman" w:hAnsi="Times New Roman" w:cs="Times New Roman"/>
          <w:sz w:val="24"/>
          <w:szCs w:val="24"/>
        </w:rPr>
        <w:t>Сырдарьи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  <w:proofErr w:type="gramEnd"/>
    </w:p>
    <w:p w:rsidR="00FF0679" w:rsidRDefault="00DA72A7" w:rsidP="006F2A0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учесть, что </w:t>
      </w:r>
      <w:r w:rsidR="00956F1A">
        <w:rPr>
          <w:rFonts w:ascii="Times New Roman" w:hAnsi="Times New Roman" w:cs="Times New Roman"/>
          <w:sz w:val="24"/>
          <w:szCs w:val="24"/>
        </w:rPr>
        <w:t xml:space="preserve">в Центральной Азии </w:t>
      </w:r>
      <w:r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956F1A">
        <w:rPr>
          <w:rFonts w:ascii="Times New Roman" w:hAnsi="Times New Roman" w:cs="Times New Roman"/>
          <w:sz w:val="24"/>
          <w:szCs w:val="24"/>
        </w:rPr>
        <w:t xml:space="preserve">воды </w:t>
      </w:r>
      <w:r>
        <w:rPr>
          <w:rFonts w:ascii="Times New Roman" w:hAnsi="Times New Roman" w:cs="Times New Roman"/>
          <w:sz w:val="24"/>
          <w:szCs w:val="24"/>
        </w:rPr>
        <w:t>давно узаконено схемами КИВР двух бассейнов в отличие от России и других регионов</w:t>
      </w:r>
      <w:r w:rsidR="00956F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F1A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необходимо находить решения в рамках этих схем с учетом вовлечения допустимых резервов. Несмотря на то, что в основу проектного регулирования стока рек региона были заложены ирригационные режимы, переход управления гидроэнергетикой после обретения независимости </w:t>
      </w:r>
      <w:r w:rsidR="004613AC">
        <w:rPr>
          <w:rFonts w:ascii="Times New Roman" w:hAnsi="Times New Roman" w:cs="Times New Roman"/>
          <w:sz w:val="24"/>
          <w:szCs w:val="24"/>
        </w:rPr>
        <w:t>в бассейнах рек Амударьи и Сырдарьи в руки энергетических организаций, привел</w:t>
      </w:r>
      <w:r w:rsidR="00956F1A">
        <w:rPr>
          <w:rFonts w:ascii="Times New Roman" w:hAnsi="Times New Roman" w:cs="Times New Roman"/>
          <w:sz w:val="24"/>
          <w:szCs w:val="24"/>
        </w:rPr>
        <w:t>и</w:t>
      </w:r>
      <w:r w:rsidR="004613AC">
        <w:rPr>
          <w:rFonts w:ascii="Times New Roman" w:hAnsi="Times New Roman" w:cs="Times New Roman"/>
          <w:sz w:val="24"/>
          <w:szCs w:val="24"/>
        </w:rPr>
        <w:t xml:space="preserve"> к переходу на энергетический режим работы гидроузлов. </w:t>
      </w:r>
      <w:proofErr w:type="gramStart"/>
      <w:r w:rsidR="004613AC">
        <w:rPr>
          <w:rFonts w:ascii="Times New Roman" w:hAnsi="Times New Roman" w:cs="Times New Roman"/>
          <w:sz w:val="24"/>
          <w:szCs w:val="24"/>
        </w:rPr>
        <w:t xml:space="preserve">Сегодня мы исходим из ограниченности использования гидроэнергетического потенциала нынешними режимами, однако, если учесть, что этот потенциал намного больше, вовлечение в него всех мощностей </w:t>
      </w:r>
      <w:proofErr w:type="spellStart"/>
      <w:r w:rsidR="004613AC">
        <w:rPr>
          <w:rFonts w:ascii="Times New Roman" w:hAnsi="Times New Roman" w:cs="Times New Roman"/>
          <w:sz w:val="24"/>
          <w:szCs w:val="24"/>
        </w:rPr>
        <w:t>Вахшского</w:t>
      </w:r>
      <w:proofErr w:type="spellEnd"/>
      <w:r w:rsidR="004613AC">
        <w:rPr>
          <w:rFonts w:ascii="Times New Roman" w:hAnsi="Times New Roman" w:cs="Times New Roman"/>
          <w:sz w:val="24"/>
          <w:szCs w:val="24"/>
        </w:rPr>
        <w:t xml:space="preserve"> каскада, включая Верхне-</w:t>
      </w:r>
      <w:proofErr w:type="spellStart"/>
      <w:r w:rsidR="004613AC">
        <w:rPr>
          <w:rFonts w:ascii="Times New Roman" w:hAnsi="Times New Roman" w:cs="Times New Roman"/>
          <w:sz w:val="24"/>
          <w:szCs w:val="24"/>
        </w:rPr>
        <w:t>Вашский</w:t>
      </w:r>
      <w:proofErr w:type="spellEnd"/>
      <w:r w:rsidR="004613AC">
        <w:rPr>
          <w:rFonts w:ascii="Times New Roman" w:hAnsi="Times New Roman" w:cs="Times New Roman"/>
          <w:sz w:val="24"/>
          <w:szCs w:val="24"/>
        </w:rPr>
        <w:t xml:space="preserve"> и две </w:t>
      </w:r>
      <w:proofErr w:type="spellStart"/>
      <w:r w:rsidR="004613AC">
        <w:rPr>
          <w:rFonts w:ascii="Times New Roman" w:hAnsi="Times New Roman" w:cs="Times New Roman"/>
          <w:sz w:val="24"/>
          <w:szCs w:val="24"/>
        </w:rPr>
        <w:t>Камбараты</w:t>
      </w:r>
      <w:proofErr w:type="spellEnd"/>
      <w:r w:rsidR="004613AC">
        <w:rPr>
          <w:rFonts w:ascii="Times New Roman" w:hAnsi="Times New Roman" w:cs="Times New Roman"/>
          <w:sz w:val="24"/>
          <w:szCs w:val="24"/>
        </w:rPr>
        <w:t xml:space="preserve">, а в последующем и частичного использования </w:t>
      </w:r>
      <w:proofErr w:type="spellStart"/>
      <w:r w:rsidR="004613AC">
        <w:rPr>
          <w:rFonts w:ascii="Times New Roman" w:hAnsi="Times New Roman" w:cs="Times New Roman"/>
          <w:sz w:val="24"/>
          <w:szCs w:val="24"/>
        </w:rPr>
        <w:t>Пянджского</w:t>
      </w:r>
      <w:proofErr w:type="spellEnd"/>
      <w:r w:rsidR="004613AC">
        <w:rPr>
          <w:rFonts w:ascii="Times New Roman" w:hAnsi="Times New Roman" w:cs="Times New Roman"/>
          <w:sz w:val="24"/>
          <w:szCs w:val="24"/>
        </w:rPr>
        <w:t xml:space="preserve"> каскада (в основном, по принципу деривационных ГЭС без включения мощностей </w:t>
      </w:r>
      <w:proofErr w:type="spellStart"/>
      <w:r w:rsidR="004613AC">
        <w:rPr>
          <w:rFonts w:ascii="Times New Roman" w:hAnsi="Times New Roman" w:cs="Times New Roman"/>
          <w:sz w:val="24"/>
          <w:szCs w:val="24"/>
        </w:rPr>
        <w:t>Даштимджуна</w:t>
      </w:r>
      <w:proofErr w:type="spellEnd"/>
      <w:r w:rsidR="004613AC">
        <w:rPr>
          <w:rFonts w:ascii="Times New Roman" w:hAnsi="Times New Roman" w:cs="Times New Roman"/>
          <w:sz w:val="24"/>
          <w:szCs w:val="24"/>
        </w:rPr>
        <w:t>) позволяет резко увеличить диапазон и возможности использования каскадов этих ГЭС и комбинировать</w:t>
      </w:r>
      <w:proofErr w:type="gramEnd"/>
      <w:r w:rsidR="004613AC">
        <w:rPr>
          <w:rFonts w:ascii="Times New Roman" w:hAnsi="Times New Roman" w:cs="Times New Roman"/>
          <w:sz w:val="24"/>
          <w:szCs w:val="24"/>
        </w:rPr>
        <w:t xml:space="preserve"> их использование, в основном, в </w:t>
      </w:r>
      <w:r w:rsidR="00956F1A">
        <w:rPr>
          <w:rFonts w:ascii="Times New Roman" w:hAnsi="Times New Roman" w:cs="Times New Roman"/>
          <w:sz w:val="24"/>
          <w:szCs w:val="24"/>
        </w:rPr>
        <w:t>интересах</w:t>
      </w:r>
      <w:r w:rsidR="004613AC">
        <w:rPr>
          <w:rFonts w:ascii="Times New Roman" w:hAnsi="Times New Roman" w:cs="Times New Roman"/>
          <w:sz w:val="24"/>
          <w:szCs w:val="24"/>
        </w:rPr>
        <w:t xml:space="preserve"> всех отраслей, не ущемляя ни в коем случае ирригационный режим Пянджа и Вахша. Для этого нужно осуществить несколько кардинальных мероприятий, которые вытекают из требования, например, Киргизстана</w:t>
      </w:r>
      <w:r w:rsidR="005E5740">
        <w:rPr>
          <w:rFonts w:ascii="Times New Roman" w:hAnsi="Times New Roman" w:cs="Times New Roman"/>
          <w:sz w:val="24"/>
          <w:szCs w:val="24"/>
        </w:rPr>
        <w:t xml:space="preserve"> к организациям системы МФСА. Первое требование состоит в том, чтобы гидроэнергетика стала полноправным решающим членом МКВК и МФСА с позиции не только режима регулирования, но и дальнейшего управления каскадами в интересах, в первую очередь, многолетнего регулирования. </w:t>
      </w:r>
      <w:r w:rsidR="00956F1A">
        <w:rPr>
          <w:rFonts w:ascii="Times New Roman" w:hAnsi="Times New Roman" w:cs="Times New Roman"/>
          <w:sz w:val="24"/>
          <w:szCs w:val="24"/>
        </w:rPr>
        <w:t>Провозглашение</w:t>
      </w:r>
      <w:r w:rsidR="005E5740">
        <w:rPr>
          <w:rFonts w:ascii="Times New Roman" w:hAnsi="Times New Roman" w:cs="Times New Roman"/>
          <w:sz w:val="24"/>
          <w:szCs w:val="24"/>
        </w:rPr>
        <w:t xml:space="preserve"> такого места энергетиков в ИК МФСА, сразу поставит отрасль на более широкую и конкурентоспособную позицию и позволит не ограничиваться требовани</w:t>
      </w:r>
      <w:r w:rsidR="001222BB">
        <w:rPr>
          <w:rFonts w:ascii="Times New Roman" w:hAnsi="Times New Roman" w:cs="Times New Roman"/>
          <w:sz w:val="24"/>
          <w:szCs w:val="24"/>
        </w:rPr>
        <w:t xml:space="preserve">ями на воду зимнего режима, но и поиска паритетных режимов, основанных на принципах Парето. Это обязательно принесет в копилку </w:t>
      </w:r>
      <w:r w:rsidR="00956F1A">
        <w:rPr>
          <w:rFonts w:ascii="Times New Roman" w:hAnsi="Times New Roman" w:cs="Times New Roman"/>
          <w:sz w:val="24"/>
          <w:szCs w:val="24"/>
        </w:rPr>
        <w:t>покрытия</w:t>
      </w:r>
      <w:r w:rsidR="001222BB">
        <w:rPr>
          <w:rFonts w:ascii="Times New Roman" w:hAnsi="Times New Roman" w:cs="Times New Roman"/>
          <w:sz w:val="24"/>
          <w:szCs w:val="24"/>
        </w:rPr>
        <w:t xml:space="preserve"> водного дефицита порядка 3 – 5 км</w:t>
      </w:r>
      <w:r w:rsidR="001222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222BB">
        <w:rPr>
          <w:rFonts w:ascii="Times New Roman" w:hAnsi="Times New Roman" w:cs="Times New Roman"/>
          <w:sz w:val="24"/>
          <w:szCs w:val="24"/>
        </w:rPr>
        <w:t xml:space="preserve"> в год. Кроме того, признание такой линии сотрудничества позволит вовлечь в управление водой через Водный Совет бассейна с включением в него различных </w:t>
      </w:r>
      <w:r w:rsidR="001222BB">
        <w:rPr>
          <w:rFonts w:ascii="Times New Roman" w:hAnsi="Times New Roman" w:cs="Times New Roman"/>
          <w:sz w:val="24"/>
          <w:szCs w:val="24"/>
        </w:rPr>
        <w:lastRenderedPageBreak/>
        <w:t xml:space="preserve">стейкхолдеров с учетом их интересов. В процессе работы согласительной Комиссии Всемирного Банка киргизские представители поддержали эту линию поведения, что открывает </w:t>
      </w:r>
      <w:r w:rsidR="00956F1A">
        <w:rPr>
          <w:rFonts w:ascii="Times New Roman" w:hAnsi="Times New Roman" w:cs="Times New Roman"/>
          <w:sz w:val="24"/>
          <w:szCs w:val="24"/>
        </w:rPr>
        <w:t>возврат</w:t>
      </w:r>
      <w:r w:rsidR="001222BB">
        <w:rPr>
          <w:rFonts w:ascii="Times New Roman" w:hAnsi="Times New Roman" w:cs="Times New Roman"/>
          <w:sz w:val="24"/>
          <w:szCs w:val="24"/>
        </w:rPr>
        <w:t xml:space="preserve"> Киргизстан</w:t>
      </w:r>
      <w:r w:rsidR="00956F1A">
        <w:rPr>
          <w:rFonts w:ascii="Times New Roman" w:hAnsi="Times New Roman" w:cs="Times New Roman"/>
          <w:sz w:val="24"/>
          <w:szCs w:val="24"/>
        </w:rPr>
        <w:t>а</w:t>
      </w:r>
      <w:r w:rsidR="001222BB">
        <w:rPr>
          <w:rFonts w:ascii="Times New Roman" w:hAnsi="Times New Roman" w:cs="Times New Roman"/>
          <w:sz w:val="24"/>
          <w:szCs w:val="24"/>
        </w:rPr>
        <w:t xml:space="preserve"> в МКВК и ИК МФСА. Аналогичные ситуации должны быть рассмотрены и применены к особенностям рек и водных притоков </w:t>
      </w:r>
      <w:r w:rsidR="00956F1A">
        <w:rPr>
          <w:rFonts w:ascii="Times New Roman" w:hAnsi="Times New Roman" w:cs="Times New Roman"/>
          <w:sz w:val="24"/>
          <w:szCs w:val="24"/>
        </w:rPr>
        <w:t>Кавказа и Восточной Европы, в первую очередь</w:t>
      </w:r>
      <w:r w:rsidR="001222BB">
        <w:rPr>
          <w:rFonts w:ascii="Times New Roman" w:hAnsi="Times New Roman" w:cs="Times New Roman"/>
          <w:sz w:val="24"/>
          <w:szCs w:val="24"/>
        </w:rPr>
        <w:t xml:space="preserve"> по каскаду Волжских и других ГЭС, равно как и в схеме регулирования </w:t>
      </w:r>
      <w:proofErr w:type="gramStart"/>
      <w:r w:rsidR="001222BB">
        <w:rPr>
          <w:rFonts w:ascii="Times New Roman" w:hAnsi="Times New Roman" w:cs="Times New Roman"/>
          <w:sz w:val="24"/>
          <w:szCs w:val="24"/>
        </w:rPr>
        <w:t>реки</w:t>
      </w:r>
      <w:proofErr w:type="gramEnd"/>
      <w:r w:rsidR="001222BB">
        <w:rPr>
          <w:rFonts w:ascii="Times New Roman" w:hAnsi="Times New Roman" w:cs="Times New Roman"/>
          <w:sz w:val="24"/>
          <w:szCs w:val="24"/>
        </w:rPr>
        <w:t xml:space="preserve"> Днепр в интересах трансграничных водопользователей.</w:t>
      </w:r>
    </w:p>
    <w:p w:rsidR="001222BB" w:rsidRDefault="00557376" w:rsidP="001222BB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для Центральной Азии и Кавказа, в первую очередь, стоит вопрос выработки схемы</w:t>
      </w:r>
      <w:r w:rsidR="00956F1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иерархии </w:t>
      </w:r>
      <w:r w:rsidR="00956F1A">
        <w:rPr>
          <w:rFonts w:ascii="Times New Roman" w:hAnsi="Times New Roman" w:cs="Times New Roman"/>
          <w:sz w:val="24"/>
          <w:szCs w:val="24"/>
        </w:rPr>
        <w:t>устойчивого регионального многостороннего</w:t>
      </w:r>
      <w:r>
        <w:rPr>
          <w:rFonts w:ascii="Times New Roman" w:hAnsi="Times New Roman" w:cs="Times New Roman"/>
          <w:sz w:val="24"/>
          <w:szCs w:val="24"/>
        </w:rPr>
        <w:t xml:space="preserve"> водохозяйственного комплекса, то для Восточной Европы необходима отработка развития водохозяйственного комплекса Европейской части России на федеральном уровне с учетом требований трансграничных соседей (Украины, Белоруссии, Молдавии), а также обеспечения восстановления, охраны и развития биоресурсов южного склона региона, в бассейне Азовского, Черного и Каспийского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В.Ф., Богомолов Ю.Г.,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С.М.). Несмотря на различие исходных водохозяйственных </w:t>
      </w:r>
      <w:r w:rsidR="00D801A0">
        <w:rPr>
          <w:rFonts w:ascii="Times New Roman" w:hAnsi="Times New Roman" w:cs="Times New Roman"/>
          <w:sz w:val="24"/>
          <w:szCs w:val="24"/>
        </w:rPr>
        <w:t>условий,</w:t>
      </w:r>
      <w:r>
        <w:rPr>
          <w:rFonts w:ascii="Times New Roman" w:hAnsi="Times New Roman" w:cs="Times New Roman"/>
          <w:sz w:val="24"/>
          <w:szCs w:val="24"/>
        </w:rPr>
        <w:t xml:space="preserve"> тем не </w:t>
      </w:r>
      <w:r w:rsidR="00D801A0">
        <w:rPr>
          <w:rFonts w:ascii="Times New Roman" w:hAnsi="Times New Roman" w:cs="Times New Roman"/>
          <w:sz w:val="24"/>
          <w:szCs w:val="24"/>
        </w:rPr>
        <w:t>менее,</w:t>
      </w:r>
      <w:r>
        <w:rPr>
          <w:rFonts w:ascii="Times New Roman" w:hAnsi="Times New Roman" w:cs="Times New Roman"/>
          <w:sz w:val="24"/>
          <w:szCs w:val="24"/>
        </w:rPr>
        <w:t xml:space="preserve"> водохозяйственные задачи, решаемые на уровне межгосударственного и межотраслевого развития сугубо идентичны. </w:t>
      </w:r>
      <w:r w:rsidR="00287671">
        <w:rPr>
          <w:rFonts w:ascii="Times New Roman" w:hAnsi="Times New Roman" w:cs="Times New Roman"/>
          <w:sz w:val="24"/>
          <w:szCs w:val="24"/>
        </w:rPr>
        <w:t>Это:</w:t>
      </w:r>
    </w:p>
    <w:p w:rsidR="00287671" w:rsidRDefault="00287671" w:rsidP="001222B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87671" w:rsidRDefault="00287671" w:rsidP="00287671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устойчивого развития отраслей социально-экономического комплекса;</w:t>
      </w:r>
    </w:p>
    <w:p w:rsidR="00287671" w:rsidRDefault="00287671" w:rsidP="00287671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внедрение эффективных методов и технологий водопользования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внедрением;</w:t>
      </w:r>
    </w:p>
    <w:p w:rsidR="00287671" w:rsidRDefault="00287671" w:rsidP="00287671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интересов различных потребителей водных ресурсов с учетом возможных вариантов</w:t>
      </w:r>
      <w:r w:rsidR="008C3F7A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="008C3F7A">
        <w:rPr>
          <w:rFonts w:ascii="Times New Roman" w:hAnsi="Times New Roman" w:cs="Times New Roman"/>
          <w:sz w:val="24"/>
          <w:szCs w:val="24"/>
        </w:rPr>
        <w:t>.</w:t>
      </w:r>
    </w:p>
    <w:p w:rsidR="008C3F7A" w:rsidRPr="008C3F7A" w:rsidRDefault="008C3F7A" w:rsidP="008C3F7A">
      <w:pPr>
        <w:rPr>
          <w:rFonts w:ascii="Times New Roman" w:hAnsi="Times New Roman" w:cs="Times New Roman"/>
          <w:sz w:val="24"/>
          <w:szCs w:val="24"/>
        </w:rPr>
      </w:pPr>
    </w:p>
    <w:p w:rsidR="001222BB" w:rsidRDefault="00AD69D3" w:rsidP="006F2A0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очень важным элементом, вернее механизмом, достижения намеченных целей по рациональному и экономному расходованию водных ресурсов явится всестороннее вовлечение механизма водосбережения. В качестве такового, в первую очередь, целесообразно осуществить повсеместный переход на передовые нормы водопользования самой расточительной отрасли водопользования, которой является орошаемое земледелие.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ранее мы исходили из опасения, что повышение температуры воздуха б</w:t>
      </w:r>
      <w:r w:rsidR="00956F1A">
        <w:rPr>
          <w:rFonts w:ascii="Times New Roman" w:hAnsi="Times New Roman" w:cs="Times New Roman"/>
          <w:sz w:val="24"/>
          <w:szCs w:val="24"/>
        </w:rPr>
        <w:t>удет требовать дополнительное коли</w:t>
      </w:r>
      <w:r>
        <w:rPr>
          <w:rFonts w:ascii="Times New Roman" w:hAnsi="Times New Roman" w:cs="Times New Roman"/>
          <w:sz w:val="24"/>
          <w:szCs w:val="24"/>
        </w:rPr>
        <w:t xml:space="preserve">чество воды для покрытия 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эвапотранспирации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6F1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 теперь на основании исследования д-ра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Солодкого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Ферганской долине и бассейну р. Амударьи установлено, что учет более полного использования термических ресурсов, изменения периодов фаз вегетации</w:t>
      </w:r>
      <w:r w:rsidR="00956F1A">
        <w:rPr>
          <w:rFonts w:ascii="Times New Roman" w:hAnsi="Times New Roman" w:cs="Times New Roman"/>
          <w:sz w:val="24"/>
          <w:szCs w:val="24"/>
        </w:rPr>
        <w:t xml:space="preserve"> растений</w:t>
      </w:r>
      <w:r>
        <w:rPr>
          <w:rFonts w:ascii="Times New Roman" w:hAnsi="Times New Roman" w:cs="Times New Roman"/>
          <w:sz w:val="24"/>
          <w:szCs w:val="24"/>
        </w:rPr>
        <w:t xml:space="preserve"> в сторону сокращения и приближения к весенним срокам, делает предполагаемое увеличение незначительным, но самое главное – необходима переоценка требований на воду повсеместно исходя из того, что прошлые нормативы, являясь продуктом советской эпохи, не учитывает современные </w:t>
      </w:r>
      <w:r w:rsidR="00956F1A">
        <w:rPr>
          <w:rFonts w:ascii="Times New Roman" w:hAnsi="Times New Roman" w:cs="Times New Roman"/>
          <w:sz w:val="24"/>
          <w:szCs w:val="24"/>
        </w:rPr>
        <w:t>глобальные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F1A">
        <w:rPr>
          <w:rFonts w:ascii="Times New Roman" w:hAnsi="Times New Roman" w:cs="Times New Roman"/>
          <w:sz w:val="24"/>
          <w:szCs w:val="24"/>
        </w:rPr>
        <w:t>подходы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A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нормированию затрат воды (ФАО), а также </w:t>
      </w:r>
      <w:r w:rsidR="00956F1A">
        <w:rPr>
          <w:rFonts w:ascii="Times New Roman" w:hAnsi="Times New Roman" w:cs="Times New Roman"/>
          <w:sz w:val="24"/>
          <w:szCs w:val="24"/>
        </w:rPr>
        <w:t>к учету</w:t>
      </w:r>
      <w:r w:rsidR="00942A91">
        <w:rPr>
          <w:rFonts w:ascii="Times New Roman" w:hAnsi="Times New Roman" w:cs="Times New Roman"/>
          <w:sz w:val="24"/>
          <w:szCs w:val="24"/>
        </w:rPr>
        <w:t xml:space="preserve"> изменения гидрогеологических и почвенных условий. На основе проведенных пересчетов и сопоставления с данными дистанционных измерений, нынешний уровень водопотребления должны быть на 15-20 % меньше принятого ранее. Одновременно должны быть обновлены и другие нормативные показатели водопользования, так же как коэффициент полезного действия каналов, </w:t>
      </w:r>
      <w:r w:rsidR="00956F1A">
        <w:rPr>
          <w:rFonts w:ascii="Times New Roman" w:hAnsi="Times New Roman" w:cs="Times New Roman"/>
          <w:sz w:val="24"/>
          <w:szCs w:val="24"/>
        </w:rPr>
        <w:t>системы</w:t>
      </w:r>
      <w:r w:rsidR="00942A91">
        <w:rPr>
          <w:rFonts w:ascii="Times New Roman" w:hAnsi="Times New Roman" w:cs="Times New Roman"/>
          <w:sz w:val="24"/>
          <w:szCs w:val="24"/>
        </w:rPr>
        <w:t xml:space="preserve">, КПД техники полива, коэффициент использования воды. В данном направлении </w:t>
      </w:r>
      <w:r w:rsidR="00956F1A">
        <w:rPr>
          <w:rFonts w:ascii="Times New Roman" w:hAnsi="Times New Roman" w:cs="Times New Roman"/>
          <w:sz w:val="24"/>
          <w:szCs w:val="24"/>
        </w:rPr>
        <w:t>моделирование</w:t>
      </w:r>
      <w:r w:rsidR="006033A1">
        <w:rPr>
          <w:rFonts w:ascii="Times New Roman" w:hAnsi="Times New Roman" w:cs="Times New Roman"/>
          <w:sz w:val="24"/>
          <w:szCs w:val="24"/>
        </w:rPr>
        <w:t xml:space="preserve"> водохозяйственного комплекса и </w:t>
      </w:r>
      <w:r w:rsidR="00956F1A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6033A1">
        <w:rPr>
          <w:rFonts w:ascii="Times New Roman" w:hAnsi="Times New Roman" w:cs="Times New Roman"/>
          <w:sz w:val="24"/>
          <w:szCs w:val="24"/>
        </w:rPr>
        <w:t>увязк</w:t>
      </w:r>
      <w:r w:rsidR="00956F1A">
        <w:rPr>
          <w:rFonts w:ascii="Times New Roman" w:hAnsi="Times New Roman" w:cs="Times New Roman"/>
          <w:sz w:val="24"/>
          <w:szCs w:val="24"/>
        </w:rPr>
        <w:t>и</w:t>
      </w:r>
      <w:r w:rsidR="006033A1">
        <w:rPr>
          <w:rFonts w:ascii="Times New Roman" w:hAnsi="Times New Roman" w:cs="Times New Roman"/>
          <w:sz w:val="24"/>
          <w:szCs w:val="24"/>
        </w:rPr>
        <w:t xml:space="preserve"> взаимодействия его элементов, строгое нормирование затрат на основе принципов оптимизации позволит эффективно решить данный комплекс задач, особенно с учетом применения более экономичных </w:t>
      </w:r>
      <w:r w:rsidR="006033A1">
        <w:rPr>
          <w:rFonts w:ascii="Times New Roman" w:hAnsi="Times New Roman" w:cs="Times New Roman"/>
          <w:sz w:val="24"/>
          <w:szCs w:val="24"/>
        </w:rPr>
        <w:lastRenderedPageBreak/>
        <w:t>сортов орошаемых культур, применения засухоустойчивых типов и увязка с возможностями большего диапазона минеральных вод.</w:t>
      </w:r>
    </w:p>
    <w:p w:rsidR="006033A1" w:rsidRDefault="00212D50" w:rsidP="006F2A0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обилие природоохранных организаций и в системе МФСА и вне ее (РЭЦ ЦА) роль их в нацеленности на выживание </w:t>
      </w:r>
      <w:r w:rsidR="000C620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поиск</w:t>
      </w:r>
      <w:r w:rsidR="000C6206">
        <w:rPr>
          <w:rFonts w:ascii="Times New Roman" w:hAnsi="Times New Roman" w:cs="Times New Roman"/>
          <w:sz w:val="24"/>
          <w:szCs w:val="24"/>
        </w:rPr>
        <w:t>ов резервов</w:t>
      </w:r>
      <w:r>
        <w:rPr>
          <w:rFonts w:ascii="Times New Roman" w:hAnsi="Times New Roman" w:cs="Times New Roman"/>
          <w:sz w:val="24"/>
          <w:szCs w:val="24"/>
        </w:rPr>
        <w:t xml:space="preserve"> незначительна. Между тем именно одна из основных специализаций этих органов – использование маргинальных стоков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большой </w:t>
      </w:r>
      <w:r w:rsidR="000C6206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 xml:space="preserve"> в покрытии дефицита водных ресурсов. </w:t>
      </w:r>
      <w:r w:rsidR="000C6206">
        <w:rPr>
          <w:rFonts w:ascii="Times New Roman" w:hAnsi="Times New Roman" w:cs="Times New Roman"/>
          <w:sz w:val="24"/>
          <w:szCs w:val="24"/>
        </w:rPr>
        <w:t>Узбекистан, например,</w:t>
      </w:r>
      <w:r>
        <w:rPr>
          <w:rFonts w:ascii="Times New Roman" w:hAnsi="Times New Roman" w:cs="Times New Roman"/>
          <w:sz w:val="24"/>
          <w:szCs w:val="24"/>
        </w:rPr>
        <w:t xml:space="preserve"> ежегодно потребляет 4,2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из систем питьевого водоснабжения. Это означает, что объем санитарных стоков должен быть не менее 3,5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Прибавьте к этому не менее 3,0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коллекторно-дренажных стоков, и вы получите тот значительный резерв, который органы экологии и </w:t>
      </w:r>
      <w:r w:rsidR="000F29FB">
        <w:rPr>
          <w:rFonts w:ascii="Times New Roman" w:hAnsi="Times New Roman" w:cs="Times New Roman"/>
          <w:sz w:val="24"/>
          <w:szCs w:val="24"/>
        </w:rPr>
        <w:t xml:space="preserve">природоохранные должны привлечь и к использованию и к покрытию экологических потребностей, в первую очередь, на нужды экологических попусков и для создания </w:t>
      </w:r>
      <w:proofErr w:type="gramStart"/>
      <w:r w:rsidR="000F29FB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="000F29FB">
        <w:rPr>
          <w:rFonts w:ascii="Times New Roman" w:hAnsi="Times New Roman" w:cs="Times New Roman"/>
          <w:sz w:val="24"/>
          <w:szCs w:val="24"/>
        </w:rPr>
        <w:t xml:space="preserve"> выживания. К сожалению, эти </w:t>
      </w:r>
      <w:r w:rsidR="000C6206">
        <w:rPr>
          <w:rFonts w:ascii="Times New Roman" w:hAnsi="Times New Roman" w:cs="Times New Roman"/>
          <w:sz w:val="24"/>
          <w:szCs w:val="24"/>
        </w:rPr>
        <w:t>объемы</w:t>
      </w:r>
      <w:r w:rsidR="000F29FB">
        <w:rPr>
          <w:rFonts w:ascii="Times New Roman" w:hAnsi="Times New Roman" w:cs="Times New Roman"/>
          <w:sz w:val="24"/>
          <w:szCs w:val="24"/>
        </w:rPr>
        <w:t xml:space="preserve"> маргинальных вод в качестве источника дополнительного водного ресурса и покрытия баланса вод не получили своей качественной и количественной </w:t>
      </w:r>
      <w:r w:rsidR="00BC07C9">
        <w:rPr>
          <w:rFonts w:ascii="Times New Roman" w:hAnsi="Times New Roman" w:cs="Times New Roman"/>
          <w:sz w:val="24"/>
          <w:szCs w:val="24"/>
        </w:rPr>
        <w:t xml:space="preserve">оценки. Более того, несмотря на большие объемы деминерализации, которые сейчас фигурируют на глобальном уровне (пример, Израиль, Австрия, Саудовская Аравия, </w:t>
      </w:r>
      <w:proofErr w:type="gramStart"/>
      <w:r w:rsidR="00BC07C9">
        <w:rPr>
          <w:rFonts w:ascii="Times New Roman" w:hAnsi="Times New Roman" w:cs="Times New Roman"/>
          <w:sz w:val="24"/>
          <w:szCs w:val="24"/>
        </w:rPr>
        <w:t xml:space="preserve">Катар) </w:t>
      </w:r>
      <w:proofErr w:type="gramEnd"/>
      <w:r w:rsidR="00BC07C9">
        <w:rPr>
          <w:rFonts w:ascii="Times New Roman" w:hAnsi="Times New Roman" w:cs="Times New Roman"/>
          <w:sz w:val="24"/>
          <w:szCs w:val="24"/>
        </w:rPr>
        <w:t>речь идет, в основном, об опреснении морской воды. Между тем ресурсы коллекторно-дренажных вод имеют намного меньшую минерализацию против морской воды (5 и 30 г</w:t>
      </w:r>
      <w:r w:rsidR="00BC07C9" w:rsidRPr="00BC07C9">
        <w:rPr>
          <w:rFonts w:ascii="Times New Roman" w:hAnsi="Times New Roman" w:cs="Times New Roman"/>
          <w:sz w:val="24"/>
          <w:szCs w:val="24"/>
        </w:rPr>
        <w:t>/</w:t>
      </w:r>
      <w:r w:rsidR="00BC07C9">
        <w:rPr>
          <w:rFonts w:ascii="Times New Roman" w:hAnsi="Times New Roman" w:cs="Times New Roman"/>
          <w:sz w:val="24"/>
          <w:szCs w:val="24"/>
        </w:rPr>
        <w:t>л) и более того – на 50 % содержат полезные соли, которые удалять не нужно. К сожалению, такая частичная деминерализация не находит себе производителя, который мог бы покрыть эту бесценную водную нишу.</w:t>
      </w:r>
    </w:p>
    <w:p w:rsidR="008F0D24" w:rsidRDefault="008F0D24" w:rsidP="006F2A0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важный раздел обсуждения на перспективу – это использование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резерва повышения потенциала </w:t>
      </w:r>
      <w:r w:rsidR="000C6206">
        <w:rPr>
          <w:rFonts w:ascii="Times New Roman" w:hAnsi="Times New Roman" w:cs="Times New Roman"/>
          <w:sz w:val="24"/>
          <w:szCs w:val="24"/>
        </w:rPr>
        <w:t>отрасли водного хозяйства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. Здесь во всех странах и государствах имеется возможность формировать свое будущее за счет накопленных ошибок и просчетов прошлого. Обмен информацией, использование баз знаний, накопленных в научных и академических организациях, постоянное повышение квалификации работников всех звеньев отрасли, передача передовых наработок – может гарантировать рост продуктивности земли и воды значительно больше, чем просто повышение производительности труда, механизмов и т.д. Посмотрите сравнение продуктивности воды в Андижанской области и такие же показатели в других областях. Продуктивность воды в Андижане, так же как и земли в 2 раза больше среднереспубликанских показателей! Разве анализ такого положения не дает нам прямой путь к вовлечению резервов в водное хозяйство и орошаемое земледелие? К сожалению, основные направления повышения потенциала – открытый и широкий обмен информацией и распространение передового опыта; тренинг специалистов всех отраслей водного хозяйства, для которого у нас достаточно сил, кадров и возможностей</w:t>
      </w:r>
      <w:r w:rsidR="00D90B04">
        <w:rPr>
          <w:rFonts w:ascii="Times New Roman" w:hAnsi="Times New Roman" w:cs="Times New Roman"/>
          <w:sz w:val="24"/>
          <w:szCs w:val="24"/>
        </w:rPr>
        <w:t>, встречает сопротивление со стороны бюрократической части нашей отрасли, которая стремиться узурпировать в узком кругу право на широкий доступ к знаниям. Именно поэтому в отрасли не находят применения использование моделей для расчета режимов участка реки и совмещения интересов отраслей, нет анализа водных балансов, не организован поиск оптимальных мелиоративных режимов.</w:t>
      </w:r>
    </w:p>
    <w:p w:rsidR="00D90B04" w:rsidRDefault="00D90B04" w:rsidP="00D90B04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Сокращения организационных потерь можно скорее добиться аналитической работой и </w:t>
      </w:r>
      <w:r w:rsidR="000C6206">
        <w:rPr>
          <w:rFonts w:ascii="Times New Roman" w:hAnsi="Times New Roman" w:cs="Times New Roman"/>
          <w:sz w:val="24"/>
          <w:szCs w:val="24"/>
        </w:rPr>
        <w:t>совершенством</w:t>
      </w:r>
      <w:r>
        <w:rPr>
          <w:rFonts w:ascii="Times New Roman" w:hAnsi="Times New Roman" w:cs="Times New Roman"/>
          <w:sz w:val="24"/>
          <w:szCs w:val="24"/>
        </w:rPr>
        <w:t xml:space="preserve"> учета воды, чем попытками свалить все на низкие темпы применения капельного и мелкодисперсного орошения. Особенно важно организовать постоянное повышение квалификации не только работников среднего и верхнего звена, но и АВП и непосредственных водопользователей. В этом вопросе развития консультативной службы фермеров и АВП могло бы дать огромную пользу отрасли, что было очень убедительно доказано в рамках проекта повышения продуктивности земли и воды, но и ранее и сейчас не видно особых усилий в этом направлении. Большие резервы </w:t>
      </w:r>
      <w:r w:rsidR="00CD581F">
        <w:rPr>
          <w:rFonts w:ascii="Times New Roman" w:hAnsi="Times New Roman" w:cs="Times New Roman"/>
          <w:sz w:val="24"/>
          <w:szCs w:val="24"/>
        </w:rPr>
        <w:t>таи</w:t>
      </w:r>
      <w:r>
        <w:rPr>
          <w:rFonts w:ascii="Times New Roman" w:hAnsi="Times New Roman" w:cs="Times New Roman"/>
          <w:sz w:val="24"/>
          <w:szCs w:val="24"/>
        </w:rPr>
        <w:t xml:space="preserve">т в себе </w:t>
      </w:r>
      <w:r w:rsidR="000C6206">
        <w:rPr>
          <w:rFonts w:ascii="Times New Roman" w:hAnsi="Times New Roman" w:cs="Times New Roman"/>
          <w:sz w:val="24"/>
          <w:szCs w:val="24"/>
        </w:rPr>
        <w:t>пересмотр</w:t>
      </w:r>
      <w:r>
        <w:rPr>
          <w:rFonts w:ascii="Times New Roman" w:hAnsi="Times New Roman" w:cs="Times New Roman"/>
          <w:sz w:val="24"/>
          <w:szCs w:val="24"/>
        </w:rPr>
        <w:t xml:space="preserve"> схем техники полива, а особо методика программирования урожая, </w:t>
      </w:r>
      <w:r w:rsidR="00CD581F">
        <w:rPr>
          <w:rFonts w:ascii="Times New Roman" w:hAnsi="Times New Roman" w:cs="Times New Roman"/>
          <w:sz w:val="24"/>
          <w:szCs w:val="24"/>
        </w:rPr>
        <w:lastRenderedPageBreak/>
        <w:t xml:space="preserve">которая позволит </w:t>
      </w:r>
      <w:r w:rsidR="000C6206">
        <w:rPr>
          <w:rFonts w:ascii="Times New Roman" w:hAnsi="Times New Roman" w:cs="Times New Roman"/>
          <w:sz w:val="24"/>
          <w:szCs w:val="24"/>
        </w:rPr>
        <w:t>устранить</w:t>
      </w:r>
      <w:r w:rsidR="00445B2E">
        <w:rPr>
          <w:rFonts w:ascii="Times New Roman" w:hAnsi="Times New Roman" w:cs="Times New Roman"/>
          <w:sz w:val="24"/>
          <w:szCs w:val="24"/>
        </w:rPr>
        <w:t xml:space="preserve"> дефицит технологии и водопользования при наличии дистанционного контроля.</w:t>
      </w:r>
    </w:p>
    <w:p w:rsidR="00C45508" w:rsidRPr="006F2A04" w:rsidRDefault="00C45508" w:rsidP="00C45508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</w:p>
    <w:sectPr w:rsidR="00C45508" w:rsidRPr="006F2A04" w:rsidSect="00C84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89" w:rsidRDefault="004B6E89" w:rsidP="00C84E03">
      <w:r>
        <w:separator/>
      </w:r>
    </w:p>
  </w:endnote>
  <w:endnote w:type="continuationSeparator" w:id="0">
    <w:p w:rsidR="004B6E89" w:rsidRDefault="004B6E89" w:rsidP="00C8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24" w:rsidRDefault="008F0D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2346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F0D24" w:rsidRPr="007E6F6B" w:rsidRDefault="008F0D24">
        <w:pPr>
          <w:pStyle w:val="a5"/>
          <w:jc w:val="right"/>
          <w:rPr>
            <w:sz w:val="16"/>
            <w:szCs w:val="16"/>
          </w:rPr>
        </w:pPr>
        <w:r w:rsidRPr="007E6F6B">
          <w:rPr>
            <w:sz w:val="16"/>
            <w:szCs w:val="16"/>
          </w:rPr>
          <w:fldChar w:fldCharType="begin"/>
        </w:r>
        <w:r w:rsidRPr="007E6F6B">
          <w:rPr>
            <w:sz w:val="16"/>
            <w:szCs w:val="16"/>
          </w:rPr>
          <w:instrText>PAGE   \* MERGEFORMAT</w:instrText>
        </w:r>
        <w:r w:rsidRPr="007E6F6B">
          <w:rPr>
            <w:sz w:val="16"/>
            <w:szCs w:val="16"/>
          </w:rPr>
          <w:fldChar w:fldCharType="separate"/>
        </w:r>
        <w:r w:rsidR="00B13E47">
          <w:rPr>
            <w:noProof/>
            <w:sz w:val="16"/>
            <w:szCs w:val="16"/>
          </w:rPr>
          <w:t>1</w:t>
        </w:r>
        <w:r w:rsidRPr="007E6F6B">
          <w:rPr>
            <w:sz w:val="16"/>
            <w:szCs w:val="16"/>
          </w:rPr>
          <w:fldChar w:fldCharType="end"/>
        </w:r>
      </w:p>
    </w:sdtContent>
  </w:sdt>
  <w:p w:rsidR="008F0D24" w:rsidRPr="007E6F6B" w:rsidRDefault="008F0D24" w:rsidP="007E6F6B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24" w:rsidRDefault="008F0D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89" w:rsidRDefault="004B6E89" w:rsidP="00C84E03">
      <w:r>
        <w:separator/>
      </w:r>
    </w:p>
  </w:footnote>
  <w:footnote w:type="continuationSeparator" w:id="0">
    <w:p w:rsidR="004B6E89" w:rsidRDefault="004B6E89" w:rsidP="00C84E03">
      <w:r>
        <w:continuationSeparator/>
      </w:r>
    </w:p>
  </w:footnote>
  <w:footnote w:id="1">
    <w:p w:rsidR="008F0D24" w:rsidRDefault="008F0D24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 w:rsidRPr="008C3F7A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8C3F7A">
        <w:rPr>
          <w:rFonts w:ascii="Times New Roman" w:hAnsi="Times New Roman" w:cs="Times New Roman"/>
          <w:sz w:val="18"/>
          <w:szCs w:val="18"/>
        </w:rPr>
        <w:t xml:space="preserve"> В.Ф., Богомолов Ю.Г., </w:t>
      </w:r>
      <w:proofErr w:type="gramStart"/>
      <w:r w:rsidRPr="008C3F7A">
        <w:rPr>
          <w:rFonts w:ascii="Times New Roman" w:hAnsi="Times New Roman" w:cs="Times New Roman"/>
          <w:sz w:val="18"/>
          <w:szCs w:val="18"/>
        </w:rPr>
        <w:t>Голубев</w:t>
      </w:r>
      <w:proofErr w:type="gramEnd"/>
      <w:r w:rsidRPr="008C3F7A">
        <w:rPr>
          <w:rFonts w:ascii="Times New Roman" w:hAnsi="Times New Roman" w:cs="Times New Roman"/>
          <w:sz w:val="18"/>
          <w:szCs w:val="18"/>
        </w:rPr>
        <w:t xml:space="preserve"> С.М.</w:t>
      </w:r>
      <w:r>
        <w:rPr>
          <w:rFonts w:ascii="Times New Roman" w:hAnsi="Times New Roman" w:cs="Times New Roman"/>
          <w:sz w:val="18"/>
          <w:szCs w:val="18"/>
        </w:rPr>
        <w:t xml:space="preserve"> «Проблемы эффективности водохозяйственного использования водных объектов на территории Европейской части России», «Использование и охрана природных ресурсов России» № 1, 2016, стр. 21-28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24" w:rsidRDefault="008F0D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24" w:rsidRDefault="008F0D24">
    <w:pPr>
      <w:pStyle w:val="a3"/>
    </w:pPr>
  </w:p>
  <w:p w:rsidR="008F0D24" w:rsidRDefault="008F0D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24" w:rsidRDefault="008F0D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83062"/>
    <w:multiLevelType w:val="hybridMultilevel"/>
    <w:tmpl w:val="A1F4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54E29"/>
    <w:multiLevelType w:val="hybridMultilevel"/>
    <w:tmpl w:val="77A8E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28"/>
    <w:rsid w:val="00007489"/>
    <w:rsid w:val="000C6206"/>
    <w:rsid w:val="000F29FB"/>
    <w:rsid w:val="001222BB"/>
    <w:rsid w:val="00194808"/>
    <w:rsid w:val="00212D50"/>
    <w:rsid w:val="002170F7"/>
    <w:rsid w:val="00287671"/>
    <w:rsid w:val="00413153"/>
    <w:rsid w:val="00445B2E"/>
    <w:rsid w:val="004613AC"/>
    <w:rsid w:val="004B6E89"/>
    <w:rsid w:val="00523320"/>
    <w:rsid w:val="00557376"/>
    <w:rsid w:val="00595828"/>
    <w:rsid w:val="005E5740"/>
    <w:rsid w:val="006033A1"/>
    <w:rsid w:val="00671BEA"/>
    <w:rsid w:val="006F2A04"/>
    <w:rsid w:val="0078529A"/>
    <w:rsid w:val="007861F9"/>
    <w:rsid w:val="007E6F6B"/>
    <w:rsid w:val="00893E5C"/>
    <w:rsid w:val="008C3F7A"/>
    <w:rsid w:val="008F0D24"/>
    <w:rsid w:val="00934643"/>
    <w:rsid w:val="00942A91"/>
    <w:rsid w:val="00956F1A"/>
    <w:rsid w:val="00AD69D3"/>
    <w:rsid w:val="00B13E47"/>
    <w:rsid w:val="00B40D9F"/>
    <w:rsid w:val="00B91254"/>
    <w:rsid w:val="00BC07C9"/>
    <w:rsid w:val="00BD74DC"/>
    <w:rsid w:val="00C015D4"/>
    <w:rsid w:val="00C1238B"/>
    <w:rsid w:val="00C41A77"/>
    <w:rsid w:val="00C45508"/>
    <w:rsid w:val="00C84E03"/>
    <w:rsid w:val="00CD581F"/>
    <w:rsid w:val="00CD622A"/>
    <w:rsid w:val="00CF3613"/>
    <w:rsid w:val="00D36E45"/>
    <w:rsid w:val="00D62EC8"/>
    <w:rsid w:val="00D801A0"/>
    <w:rsid w:val="00D90B04"/>
    <w:rsid w:val="00D95DFB"/>
    <w:rsid w:val="00DA72A7"/>
    <w:rsid w:val="00F46424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E03"/>
  </w:style>
  <w:style w:type="paragraph" w:styleId="a5">
    <w:name w:val="footer"/>
    <w:basedOn w:val="a"/>
    <w:link w:val="a6"/>
    <w:uiPriority w:val="99"/>
    <w:unhideWhenUsed/>
    <w:rsid w:val="00C84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4E03"/>
  </w:style>
  <w:style w:type="paragraph" w:styleId="a7">
    <w:name w:val="Balloon Text"/>
    <w:basedOn w:val="a"/>
    <w:link w:val="a8"/>
    <w:uiPriority w:val="99"/>
    <w:semiHidden/>
    <w:unhideWhenUsed/>
    <w:rsid w:val="00C84E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E03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95DFB"/>
    <w:rPr>
      <w:color w:val="808080"/>
    </w:rPr>
  </w:style>
  <w:style w:type="paragraph" w:styleId="aa">
    <w:name w:val="List Paragraph"/>
    <w:basedOn w:val="a"/>
    <w:uiPriority w:val="34"/>
    <w:qFormat/>
    <w:rsid w:val="006F2A04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8C3F7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C3F7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C3F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E03"/>
  </w:style>
  <w:style w:type="paragraph" w:styleId="a5">
    <w:name w:val="footer"/>
    <w:basedOn w:val="a"/>
    <w:link w:val="a6"/>
    <w:uiPriority w:val="99"/>
    <w:unhideWhenUsed/>
    <w:rsid w:val="00C84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4E03"/>
  </w:style>
  <w:style w:type="paragraph" w:styleId="a7">
    <w:name w:val="Balloon Text"/>
    <w:basedOn w:val="a"/>
    <w:link w:val="a8"/>
    <w:uiPriority w:val="99"/>
    <w:semiHidden/>
    <w:unhideWhenUsed/>
    <w:rsid w:val="00C84E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E03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95DFB"/>
    <w:rPr>
      <w:color w:val="808080"/>
    </w:rPr>
  </w:style>
  <w:style w:type="paragraph" w:styleId="aa">
    <w:name w:val="List Paragraph"/>
    <w:basedOn w:val="a"/>
    <w:uiPriority w:val="34"/>
    <w:qFormat/>
    <w:rsid w:val="006F2A04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8C3F7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C3F7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C3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EBBE-5D4A-4327-AA06-FCA61FEF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 Kadirova</dc:creator>
  <cp:lastModifiedBy>Raya Kadirova</cp:lastModifiedBy>
  <cp:revision>29</cp:revision>
  <cp:lastPrinted>2018-07-13T06:42:00Z</cp:lastPrinted>
  <dcterms:created xsi:type="dcterms:W3CDTF">2018-07-12T04:42:00Z</dcterms:created>
  <dcterms:modified xsi:type="dcterms:W3CDTF">2018-07-13T07:10:00Z</dcterms:modified>
</cp:coreProperties>
</file>